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media/image1.png" ContentType="image/png"/>
  <Override PartName="/word/media/image2.jpeg" ContentType="image/jpeg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0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СОФИЙСКИ УНИВЕРСИТЕТ “СВЕТИ КЛИМЕНТ ОХРИДСКИ”</w:t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</w:r>
    </w:p>
    <w:p>
      <w:pPr>
        <w:pStyle w:val="Normal"/>
        <w:spacing w:lineRule="auto" w:line="240" w:before="120" w:after="0"/>
        <w:jc w:val="center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ФАКУЛТЕТ ПО ЖУРНАЛИСТИКА И МАСОВА КОМУНИКАЦИЯ</w:t>
      </w:r>
    </w:p>
    <w:p>
      <w:pPr>
        <w:pStyle w:val="Normal"/>
        <w:spacing w:lineRule="auto" w:line="240" w:before="120" w:after="0"/>
        <w:rPr>
          <w:rFonts w:ascii="Times New Roman" w:hAnsi="Times New Roman" w:eastAsia="Times New Roman" w:cs="Times New Roman"/>
          <w:sz w:val="28"/>
          <w:szCs w:val="28"/>
          <w:lang w:val="bg-BG"/>
        </w:rPr>
      </w:pPr>
      <w:r>
        <w:rPr>
          <w:rFonts w:eastAsia="Times New Roman" w:cs="Times New Roman" w:ascii="Times New Roman" w:hAnsi="Times New Roman"/>
          <w:sz w:val="28"/>
          <w:szCs w:val="28"/>
          <w:lang w:val="bg-BG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/>
        <w:drawing>
          <wp:inline distT="0" distB="0" distL="0" distR="0">
            <wp:extent cx="3535680" cy="76200"/>
            <wp:effectExtent l="0" t="0" r="0" b="0"/>
            <wp:docPr id="1" name="Picture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5680" cy="7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/>
        <w:drawing>
          <wp:inline distT="0" distB="0" distL="0" distR="0">
            <wp:extent cx="960120" cy="1173480"/>
            <wp:effectExtent l="0" t="0" r="0" b="0"/>
            <wp:docPr id="2" name="Picture 1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"/>
                    <pic:cNvPicPr>
                      <a:picLocks noChangeAspect="1" noChangeArrowheads="1"/>
                    </pic:cNvPicPr>
                  </pic:nvPicPr>
                  <pic:blipFill>
                    <a:blip r:embed="rId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0120" cy="1173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20"/>
          <w:szCs w:val="20"/>
        </w:rPr>
      </w:pPr>
      <w:r>
        <w:rPr>
          <w:rFonts w:eastAsia="Times New Roman" w:cs="Times New Roman" w:ascii="Times New Roman" w:hAnsi="Times New Roman"/>
          <w:sz w:val="20"/>
          <w:szCs w:val="20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sz w:val="36"/>
          <w:szCs w:val="36"/>
          <w:lang w:val="bg-BG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sz w:val="36"/>
          <w:szCs w:val="36"/>
          <w:lang w:val="bg-BG"/>
        </w:rPr>
        <w:t>Тема: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b/>
          <w:b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b/>
          <w:sz w:val="36"/>
          <w:szCs w:val="36"/>
          <w:lang w:val="bg-BG"/>
        </w:rPr>
        <w:t>Невербалната комуникация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sz w:val="36"/>
          <w:szCs w:val="36"/>
          <w:lang w:val="bg-BG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sz w:val="36"/>
          <w:szCs w:val="36"/>
          <w:lang w:val="bg-BG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sz w:val="36"/>
          <w:szCs w:val="36"/>
          <w:lang w:val="bg-BG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eastAsia="Times New Roman" w:cs="Times New Roman"/>
          <w:sz w:val="36"/>
          <w:szCs w:val="36"/>
          <w:lang w:val="bg-BG"/>
        </w:rPr>
      </w:pPr>
      <w:r>
        <w:rPr>
          <w:rFonts w:eastAsia="Times New Roman" w:cs="Times New Roman" w:ascii="Times New Roman" w:hAnsi="Times New Roman"/>
          <w:sz w:val="36"/>
          <w:szCs w:val="36"/>
          <w:lang w:val="bg-BG"/>
        </w:rPr>
        <w:t xml:space="preserve">                  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Студент: Никол Ивайлова Малинова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 xml:space="preserve">Специалност: Връзки с обществеността 2 курс </w:t>
      </w:r>
      <w:r>
        <w:rPr>
          <w:rFonts w:eastAsia="Times New Roman" w:cs="Times New Roman" w:ascii="Times New Roman" w:hAnsi="Times New Roman"/>
          <w:sz w:val="32"/>
          <w:szCs w:val="28"/>
        </w:rPr>
        <w:t>(</w:t>
      </w: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задочно обучение</w:t>
      </w:r>
      <w:r>
        <w:rPr>
          <w:rFonts w:eastAsia="Times New Roman" w:cs="Times New Roman" w:ascii="Times New Roman" w:hAnsi="Times New Roman"/>
          <w:sz w:val="32"/>
          <w:szCs w:val="28"/>
        </w:rPr>
        <w:t>)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Факултетен номер: 70786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Преподавател: гл. ас. д-р Стилия Паунова</w:t>
      </w:r>
    </w:p>
    <w:p>
      <w:pPr>
        <w:pStyle w:val="Normal"/>
        <w:spacing w:lineRule="auto" w:line="240" w:before="0" w:after="0"/>
        <w:rPr>
          <w:rFonts w:ascii="Times New Roman" w:hAnsi="Times New Roman" w:eastAsia="Times New Roman" w:cs="Times New Roman"/>
          <w:sz w:val="32"/>
          <w:szCs w:val="28"/>
          <w:lang w:val="bg-BG"/>
        </w:rPr>
      </w:pPr>
      <w:r>
        <w:rPr>
          <w:rFonts w:eastAsia="Times New Roman" w:cs="Times New Roman" w:ascii="Times New Roman" w:hAnsi="Times New Roman"/>
          <w:sz w:val="32"/>
          <w:szCs w:val="28"/>
          <w:lang w:val="bg-BG"/>
        </w:rPr>
        <w:t>Дисциплина: Теория на масовата комуникация</w:t>
      </w:r>
    </w:p>
    <w:p>
      <w:pPr>
        <w:pStyle w:val="Normal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Невербалната комуникация ползва мимики на лицето, жестикулация, очен контакт, вокални аспекти на говорния език като заекване, височина и сила на звука, интонация, покашляне, хриптене и преглъщане. Проксематиката се занимава с дистанцията между комуникиращите страни. Културният антрополог Едуард Хол – разделя дистанцията между оратора и публиката в групите интимно, лично, социално, консултативно и публично. Кинетиката изучава движенията и състоянията на позициониране на тялото при комуникация. За невербалната комуникация са важни и неизказаните вербално мисли, но показани чрез тялото и естетичния външен вид.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Поведението на определени типажи се намира в пряка корелационна зависимост между комуникатора и таргет-групата. Интерпретацията на невербалната комуникация зависи от съответствието в кодовите системи и от опита на комуникиращите страни. Основните показатели се интерпретират по един и същи начин, независимо от етническата им принадлежност и от професионалния и културния бекграунд на участниците в интерпретативните комуникационни страни.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Следните компоненти се възприемат за част от комуникационната предпреценка на комуникационния партньор: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Лицева експресия – при липса се изразява арогантно превъзходство; като изражението може да е грубо, пренебрежително, внимателно, заинтересовано, приятелско, враждебно, отвращаващо се, съмняващо се, разкаяло се.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Коса и прическа – обемната дълга коса е най-силният афродизиак, колкото по-светла е, толкова по-голям е успехът на приносителя й; плешивостта се счита за дефект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Цвят на косата – той трябва да изглежда естествен; дългата коса при мъжете е символ на свобода и артистичност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Ръст – високият ръст и физическо здраве се свързват с чуждото превъзходство; ниските на ръст биват подценявани, ако са мъже се внимава с тях, защото ниските мъже са прочути с кариеризъм и конкурентноспособност като действащ компенсаторен механизъм. Ръстът е манипулируем с високи токове, прически и облекло, които издължават силуета.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Облекло – „нашата втора кожа“ се визира облеклото, както Маршал МакЛуън го нарича. Облеклото носи характеристики на социалния и икономически статус на човека. Най-красиво и обществено приемливо е бизнес-облеклото в сиво, тъмно синьо и черно. Бялото е екстравагантно. Веселите цветове са подходящи за летните месеци. Бонбонените цветове са подходящи за малки момичета, а пастелните за пенсионерите. Ярките цветове са за артистичните натури. Късите панталони при мъжете и нецензурираната телесност при жените са белег на нисък вкус. Бизнес-облеклото се свързва с административни функции. Връхни дрехи и сака на костюми, които са закопчани до врата препращат към безапелационна доминация и превъзходство. Обличането два пъти на една и съща скъпа дреха е неприемливо в най-високостатусните среди. Собственото си отношение към самия себе си се показва по начина, по който си облечен, както и демонстрирането на уважение или неуважение към околните. „По дрехите посрещат, по ума изпращат“, следователно умните хора винаги изглеждат добре. 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Възраст и манипулация на възрастта – възраст под 35 години се смята за несериозна в хуманитарните професии и заеманите държавни и високи корпоративни длъжности. Манипулацията на възрастта се осъществява чрез грим, пластична хирургия, определен стил на обличане, поддържане на ниско тегло – за подмладяване, и на високо тегло – за състаряване; оцветяване на кожата като манипулация на визуалните параметри на възрастта.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Телесна маса – слабите хора на възраст над 25 години са депресирани, истерични, нервни и недохранени, изморяващи се бързо, по-екстравагантни от другите; хората с наднормено тегло са нагли, вулгарни, брутални, склонни към корупция и измами, флегматични, смъкващи имиджа на корпорацията или държавната организация, в която работят с визията си, те са лоши физически служители; хората с нормално телесно тегло са психически устойчиви и свързвани с устойчивото развитие на фирмата, с благонадеждност като служители.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Макроцефалия – подбирането на слаби жени с големи глави в медиите налага този визуален обществено желан типаж на жената.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Недъзи – специалните компенсаторни свръхкачества рядко са съпроводени с недъзи; дефекти на кожата се свързват и с понижени умствени способности.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Миризма – на тялото или парфюмерийна; парфюмът ни трябва да се усеща на не повече от една ръка разстояние; миризми на омекотители са приемливи само за провинциалните домакини.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Артефакти, подсказващи материалния статус – златни и диамантени бижута, редки кожи, скъпи коли. Те винаги се интерпретират като чуждо превъзходство, като другите изпитват завист.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Артефакти, подсказващи социалния статус – дипломатически куфарчета, луксозни писалки, стилни тефтери. Отново са признаци на чуждо превъзходство, които се приемат като имиджови градиенти. Символите на статут прибавят авторитет и важни специални компетенции.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Роднински връзки – чрез тях трудно се доказват професионалните компетенции 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Фамилиарност – недвусмислен жест на излизане от професионалната зона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Мимики – позитивно отношение или доволство откриваме в усмивката; сбърченото лице е признак на затормозяване, себенасилване и непоносимост към ситуацията или отсрещния; повдигнатите вежди показват учудване или съмняване; повдигането на раменете е знак за незнание, неразбиране и недоумение.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Поза – показна дистанция от една ръка разстояние изисква доверието, преминаването към интимност се наблюдава при скъсяването на тази дистанция; наведените глави са израз на прикритост; наклонените глави са израз на съчувствие; жест на властна и заплашителна позиция е  премереното разкрачване при изправено тяло.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Очен контакт – неуверените и наплашени индивиди избягват чуждия поглед; намигането е уговорка за шега; присвиването на очи е израз на ненавист; поглед над очилата е признак на недоверие и подлага на изпитание събеседника.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Жестове – кимането с глава надолу означава съгласие и е израз на положително отношение, докато кимането настрани е израз на несъгласие или еквивалент на отрицателен отговор; кръстосаните ръце показват чувстващ реална физическа заплаха човек; ръкостискането е израз на влизането в договорени отношения за склонност към едноправие; пушенето е знак на неуважение и погазване на правото на здраве и живот на събеседника; надвисването над партньора е знак за заплаха; ръкомахането е разубеждаваща комуникация.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Запазване на каменно лице – предпазване от мимики и жестове, показва сила и надменност от класа.</w:t>
      </w:r>
    </w:p>
    <w:p>
      <w:pPr>
        <w:pStyle w:val="ListParagraph"/>
        <w:numPr>
          <w:ilvl w:val="0"/>
          <w:numId w:val="1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Нокти – поддържането на изкуствени нокти е признак на нисък вкус при жените; аристокрацията не носи лак.</w:t>
      </w:r>
    </w:p>
    <w:p>
      <w:pPr>
        <w:pStyle w:val="Normal"/>
        <w:spacing w:lineRule="auto" w:line="360" w:before="0"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Невербалната комуникация придава по-голямо значение при оценка на емоционалното състояние. Съществуват невербални канали за комуникация, изградени на основа на сетивата за възприемане. Подредени по значимост: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Вокален, който включва тембъра на гласа – престижният глас е с нисък тембър; при високите кресливи гласове авторитетът спада; притворената същност на човека се издава чрез тихия глас;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Визуален, който включва физически данни на комуникационния партньор, както и позиционирането в социалната йерархия;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Допирен, който съдържа усещането за чуждата персона, което остава във всяка от страните в комуникационния акт, като първото му осъществяване се наблюдава при ръкостискането.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Олфакторен, който включва долавяне на миризма от чуждата телесност;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Термален, който включва възможностите за непосредственото усещане на топлината на чуждата телесност;</w:t>
      </w:r>
    </w:p>
    <w:p>
      <w:pPr>
        <w:pStyle w:val="ListParagraph"/>
        <w:numPr>
          <w:ilvl w:val="0"/>
          <w:numId w:val="2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Густаторен канал, предполагащ напредване в отношенията с чуждата телесност, свързващи се с възприятието за вкус.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Междуличностната дистанция е друга форма на невербалното комуникативно поведение. Тя е голяма при формални отношения и скъсена при неформални. От съществено значение са и елементите на средата, в които протича комуникационният акт. Озвучаването е най-въздействащо в медийните невербални комуникации. На второ място е цветовото нюансиране и осветление. На последното място са визуалните стилизации на интериора, екстериора и човешкия материал.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Според гледната точка на Д.Гилфойл се смята, че трябва да се обръща внимание на прическата, грима, лицевите изражения, начина на обличане, тембъра на гласа, речевия изказ, начина на ръкостискане, както и на емоциите на аудиторията. Добрата дикция и овладяването на гласа показва способността на оратора да контролира височината на гласа, ударенията върху определени думи, силата, темпът. Когато е налице синхрон на словото с невербалното и част от вербалното, се повишава харизмата на личността.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Езикът на тялото се проучва от много науки, които разглеждат произхода, етимологията, терминологията на безмълвното общуване и неговото популяризиране. Десетте основни невербални сигнала, по които следим за отношението на комуникатора са: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Телесен контакт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Отстояние от група хора или отделни лица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Ориентация на поглед и телесна позиция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Поява – дрехи, физика, прическа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Поза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Движения на главата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Изражение на лицето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Жест на ръцете, главата, тялото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Поглед </w:t>
      </w:r>
    </w:p>
    <w:p>
      <w:pPr>
        <w:pStyle w:val="ListParagraph"/>
        <w:numPr>
          <w:ilvl w:val="0"/>
          <w:numId w:val="4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Невербални елементи на говора – тон, сила на гласа и др.</w:t>
      </w:r>
    </w:p>
    <w:p>
      <w:pPr>
        <w:pStyle w:val="Normal"/>
        <w:spacing w:lineRule="auto" w:line="360"/>
        <w:ind w:left="1080" w:hanging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Дистанции и фази при невербалната комуникация: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Далечна фаза – 45см, любовна прегръдка, контакт между майка и дете, между родители и деца;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Близка фаза – 45-75см, в асансьор, тролей, автобус;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Далечна фаза – 75-120см, разговори и дискусии;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Далечна фаза – 210-360см, за делови срещи между бизнесмени  и клиенти, за служебни разговори между равнопоставени;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360-750см – за формални социални и бизнес контакти, обичайно разстояние между шеф и подчинени;</w:t>
      </w:r>
    </w:p>
    <w:p>
      <w:pPr>
        <w:pStyle w:val="ListParagraph"/>
        <w:numPr>
          <w:ilvl w:val="0"/>
          <w:numId w:val="5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Над 750см – за събрания, инструктажи и срещи за даване на делови указания, мениджърски напътствия.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Хората са чувствителни по отношение на личното пространство. В ситуация на провеждане на преговори, един непремерен жест би могъл да бъде фатален. Окуражително действа потупване, намигане и усмихване от страна на началника. Този жест премахва недоверието между него и подчинените му. Отдалечеността е равна на враждебност, докато близостта е равна на симпатия.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Невербалната комуникация е културно определена. Невербалните съобщения могат да се конфронтират с вербалните. Невербалните съобщения са подсъзнателни. Важни за комуникационните отношения и нагласи са невербалните сигнали. Невербалните сигнали в общуването отразяват мислите и чувствата ни. Те предават реалните чувства и мисли.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Погледът, усмивката и ръкостискането са съществени компоненти в невербалното делово общуване. По състоянието на погледа бихме могли да преценим увереността или несигурността, откровеността и неотстъпчивостта. Очите носят сведения и специфични черти, показват характер, интелект и темперамент на личността. Човешкият поглед издава характера и душевността на човека и носи посланието на вътрешния му свят.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За успешна делова комуникация, трябва да се спазват следните техники: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Гледаме събеседника право в очите – това показва, че сме искрени, че проявяваме интерес към разговора;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При повече участници в разговора, трябва да отделяме внимание на всеки един от тях, но не бива да забравяме кой е главният, с него визуалният контакт трябва да бъде най-плътен;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Носенето на тъмни очила по време на преговори е недопустимо, защото това говори, че искаме да скрием нещо от партньорите си;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Най-важните пунктове в разговора трябва да се следят чрез влиянието на погледа – с насочване, задържане и контролиране;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Стремежът да следим погледа на деловите партньори, като вид обратна връзка;</w:t>
      </w:r>
    </w:p>
    <w:p>
      <w:pPr>
        <w:pStyle w:val="ListParagraph"/>
        <w:numPr>
          <w:ilvl w:val="0"/>
          <w:numId w:val="6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Прекаленото втренчване в другия може да доведе до подозрение, съмнение, усещане за дискомфорт.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Стиловете на ръкуване, които е нужно да следваме в деловото общуване: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Ръкуването трябва да е стегнато и енергично, отпуснатата ръка не е белег на деловитост и надеждност;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Не трябва да се задържа прекалено дълго ръката на партньора;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Важните моменти по време на преговори е прието да се ознаменуват с ръкостискане, като се придава емоционален оттенък;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Ръкуване в стил „ръкавица“ внушава искреност и доверие у човека отсреща, най-често се използва при среща с близък или при подчертаване на значение на нашия партньор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Вялото, отпуснато ръкуване не прави добро впечатление;</w:t>
      </w:r>
    </w:p>
    <w:p>
      <w:pPr>
        <w:pStyle w:val="ListParagraph"/>
        <w:numPr>
          <w:ilvl w:val="0"/>
          <w:numId w:val="7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Шефът подава пръв ръка при среща, а подчиненият се ръкува след тази покана.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Жестовете и позициите на ръцете в бизнесменското общуване:</w:t>
      </w:r>
    </w:p>
    <w:p>
      <w:pPr>
        <w:pStyle w:val="ListParagraph"/>
        <w:numPr>
          <w:ilvl w:val="0"/>
          <w:numId w:val="8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Взаимно притиснатите ръце с дланите отгоре-надолу означават успокояване;</w:t>
      </w:r>
    </w:p>
    <w:p>
      <w:pPr>
        <w:pStyle w:val="ListParagraph"/>
        <w:numPr>
          <w:ilvl w:val="0"/>
          <w:numId w:val="8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Опрените в хълбоците ръце с изнесени настрани лакти показват наличието на заповеднически тип и агресивност;</w:t>
      </w:r>
    </w:p>
    <w:p>
      <w:pPr>
        <w:pStyle w:val="ListParagraph"/>
        <w:numPr>
          <w:ilvl w:val="0"/>
          <w:numId w:val="8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Кръстосаните зад главата ръце могат да се тълкуват като знак за умора, но и като надменност;</w:t>
      </w:r>
    </w:p>
    <w:p>
      <w:pPr>
        <w:pStyle w:val="ListParagraph"/>
        <w:numPr>
          <w:ilvl w:val="0"/>
          <w:numId w:val="8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Осъдително протегнатите показалци към партньора са знак за надмощие;</w:t>
      </w:r>
    </w:p>
    <w:p>
      <w:pPr>
        <w:pStyle w:val="ListParagraph"/>
        <w:numPr>
          <w:ilvl w:val="0"/>
          <w:numId w:val="8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Кръстосаните зад гърба ръце показват превъзходство;</w:t>
      </w:r>
    </w:p>
    <w:p>
      <w:pPr>
        <w:pStyle w:val="ListParagraph"/>
        <w:numPr>
          <w:ilvl w:val="0"/>
          <w:numId w:val="8"/>
        </w:numPr>
        <w:spacing w:lineRule="auto" w:line="36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>Изнесената напред длан с разперени пръсти означава, че човекът не търпи възражение.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cs="Times New Roman" w:ascii="Times New Roman" w:hAnsi="Times New Roman"/>
          <w:sz w:val="24"/>
          <w:szCs w:val="24"/>
          <w:lang w:val="bg-BG"/>
        </w:rPr>
        <w:t xml:space="preserve">Процесът, при който хората осъществяват връзка помежду си чрез разменяни телесно-пластични неустни сигнали и конкретно организиране на пространството около себе си, се нарича невербална комуникация. Общуването се осъществява чрез предаване на сведения, чувства и мисли, без думи, само с помощта на знаците и фигурите. Езикът на тялото помага на хората за тяхното разбиране в процеса на комуникацията им. Той е филтриран по генетичен и социален път, но въпреки това не е лесен за усвояване и разбиране. Развитието на съвременните бизнес комуникации налага изучаването на езикът на тялото като необходимост в бизнес връзките, но и във всекидневните взаимоотношения между хората. Невербалната комуникация засилва своето значение непрекъснато. </w:t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8"/>
          <w:lang w:val="bg-BG"/>
        </w:rPr>
      </w:pPr>
      <w:r>
        <w:rPr>
          <w:rFonts w:cs="Times New Roman" w:ascii="Times New Roman" w:hAnsi="Times New Roman"/>
          <w:sz w:val="28"/>
          <w:lang w:val="bg-BG"/>
        </w:rPr>
      </w:r>
    </w:p>
    <w:p>
      <w:pPr>
        <w:pStyle w:val="Normal"/>
        <w:spacing w:lineRule="auto" w:line="360"/>
        <w:ind w:firstLine="720"/>
        <w:jc w:val="both"/>
        <w:rPr>
          <w:rFonts w:ascii="Times New Roman" w:hAnsi="Times New Roman" w:cs="Times New Roman"/>
          <w:sz w:val="28"/>
          <w:lang w:val="bg-BG"/>
        </w:rPr>
      </w:pPr>
      <w:r>
        <w:rPr>
          <w:rFonts w:cs="Times New Roman" w:ascii="Times New Roman" w:hAnsi="Times New Roman"/>
          <w:sz w:val="28"/>
          <w:lang w:val="bg-BG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  <w:sz w:val="28"/>
          <w:lang w:val="bg-BG"/>
        </w:rPr>
      </w:pPr>
      <w:r>
        <w:rPr>
          <w:rFonts w:cs="Times New Roman" w:ascii="Times New Roman" w:hAnsi="Times New Roman"/>
          <w:sz w:val="28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</w:p>
    <w:p>
      <w:pPr>
        <w:pStyle w:val="Normal"/>
        <w:spacing w:lineRule="auto" w:line="360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</w:r>
      <w:bookmarkStart w:id="0" w:name="_GoBack"/>
      <w:bookmarkStart w:id="1" w:name="_GoBack"/>
      <w:bookmarkEnd w:id="1"/>
    </w:p>
    <w:p>
      <w:pPr>
        <w:pStyle w:val="Normal"/>
        <w:spacing w:lineRule="auto" w:line="360"/>
        <w:jc w:val="center"/>
        <w:rPr>
          <w:rFonts w:ascii="Times New Roman" w:hAnsi="Times New Roman" w:cs="Times New Roman"/>
          <w:b/>
          <w:b/>
          <w:sz w:val="36"/>
          <w:lang w:val="bg-BG"/>
        </w:rPr>
      </w:pPr>
      <w:r>
        <w:rPr>
          <w:rFonts w:cs="Times New Roman" w:ascii="Times New Roman" w:hAnsi="Times New Roman"/>
          <w:b/>
          <w:sz w:val="36"/>
          <w:lang w:val="bg-BG"/>
        </w:rPr>
        <w:t>Библиография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32"/>
          <w:lang w:val="bg-BG"/>
        </w:rPr>
      </w:pPr>
      <w:r>
        <w:rPr>
          <w:rFonts w:cs="Times New Roman" w:ascii="Times New Roman" w:hAnsi="Times New Roman"/>
          <w:sz w:val="32"/>
          <w:lang w:val="bg-BG"/>
        </w:rPr>
        <w:t>Фелиси, Стилиа. /2019/ Теория на масовата комуникация, Мултипринт ООД</w:t>
      </w:r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32"/>
          <w:lang w:val="bg-BG"/>
        </w:rPr>
      </w:pPr>
      <w:hyperlink r:id="rId4">
        <w:r>
          <w:rPr>
            <w:rStyle w:val="InternetLink"/>
            <w:rFonts w:cs="Times New Roman" w:ascii="Times New Roman" w:hAnsi="Times New Roman"/>
            <w:sz w:val="32"/>
            <w:lang w:val="bg-BG"/>
          </w:rPr>
          <w:t>file:///C:/Users/User/Downloads/%D0%90%D0%B2%D1%82%D0%BE%D1%80%D0%B5%D1%84%D0%B5%D1%80%D0%B0%D1%82.pdf</w:t>
        </w:r>
      </w:hyperlink>
    </w:p>
    <w:p>
      <w:pPr>
        <w:pStyle w:val="ListParagraph"/>
        <w:numPr>
          <w:ilvl w:val="0"/>
          <w:numId w:val="3"/>
        </w:numPr>
        <w:spacing w:lineRule="auto" w:line="360"/>
        <w:rPr>
          <w:rFonts w:ascii="Times New Roman" w:hAnsi="Times New Roman" w:cs="Times New Roman"/>
          <w:sz w:val="32"/>
          <w:lang w:val="bg-BG"/>
        </w:rPr>
      </w:pPr>
      <w:hyperlink r:id="rId5">
        <w:r>
          <w:rPr>
            <w:rStyle w:val="InternetLink"/>
            <w:rFonts w:cs="Times New Roman" w:ascii="Times New Roman" w:hAnsi="Times New Roman"/>
            <w:sz w:val="32"/>
            <w:lang w:val="bg-BG"/>
          </w:rPr>
          <w:t>https://bcpgim.wordpress.com/%D0%BD%D0%B5%D0%B2%D0%B5%D1%80%D0%B1%D0%B0%D0%BB%D0%BD%D0%B8-%D0%BA%D0%BE%D0%BC%D1%83%D0%BD%D0%B8%D0%BA%D0%B0%D1%86%D0%B8%D0%B8/</w:t>
        </w:r>
      </w:hyperlink>
    </w:p>
    <w:p>
      <w:pPr>
        <w:pStyle w:val="ListParagraph"/>
        <w:spacing w:lineRule="auto" w:line="360"/>
        <w:rPr>
          <w:rFonts w:ascii="Times New Roman" w:hAnsi="Times New Roman" w:cs="Times New Roman"/>
          <w:sz w:val="32"/>
          <w:lang w:val="bg-BG"/>
        </w:rPr>
      </w:pPr>
      <w:r>
        <w:rPr>
          <w:rFonts w:cs="Times New Roman" w:ascii="Times New Roman" w:hAnsi="Times New Roman"/>
          <w:sz w:val="32"/>
          <w:lang w:val="bg-BG"/>
        </w:rPr>
      </w:r>
    </w:p>
    <w:p>
      <w:pPr>
        <w:pStyle w:val="ListParagraph"/>
        <w:spacing w:lineRule="auto" w:line="360"/>
        <w:ind w:left="0" w:hanging="0"/>
        <w:rPr>
          <w:rFonts w:ascii="Times New Roman" w:hAnsi="Times New Roman" w:cs="Times New Roman"/>
          <w:sz w:val="32"/>
          <w:lang w:val="bg-BG"/>
        </w:rPr>
      </w:pPr>
      <w:r>
        <w:rPr>
          <w:rFonts w:cs="Times New Roman" w:ascii="Times New Roman" w:hAnsi="Times New Roman"/>
          <w:sz w:val="32"/>
          <w:lang w:val="bg-BG"/>
        </w:rPr>
      </w:r>
    </w:p>
    <w:p>
      <w:pPr>
        <w:pStyle w:val="ListParagraph"/>
        <w:spacing w:lineRule="auto" w:line="360"/>
        <w:rPr>
          <w:rFonts w:ascii="Times New Roman" w:hAnsi="Times New Roman" w:cs="Times New Roman"/>
          <w:sz w:val="32"/>
          <w:lang w:val="bg-BG"/>
        </w:rPr>
      </w:pPr>
      <w:r>
        <w:rPr>
          <w:rFonts w:cs="Times New Roman" w:ascii="Times New Roman" w:hAnsi="Times New Roman"/>
          <w:sz w:val="32"/>
          <w:lang w:val="bg-BG"/>
        </w:rPr>
      </w:r>
    </w:p>
    <w:p>
      <w:pPr>
        <w:pStyle w:val="ListParagraph"/>
        <w:spacing w:lineRule="auto" w:line="360"/>
        <w:rPr>
          <w:rFonts w:ascii="Times New Roman" w:hAnsi="Times New Roman" w:cs="Times New Roman"/>
          <w:sz w:val="32"/>
          <w:lang w:val="bg-BG"/>
        </w:rPr>
      </w:pPr>
      <w:r>
        <w:rPr>
          <w:rFonts w:cs="Times New Roman" w:ascii="Times New Roman" w:hAnsi="Times New Roman"/>
          <w:sz w:val="32"/>
          <w:lang w:val="bg-BG"/>
        </w:rPr>
      </w:r>
    </w:p>
    <w:p>
      <w:pPr>
        <w:pStyle w:val="Normal"/>
        <w:spacing w:lineRule="auto" w:line="360" w:before="0" w:after="160"/>
        <w:ind w:firstLine="720"/>
        <w:jc w:val="both"/>
        <w:rPr>
          <w:rFonts w:ascii="Times New Roman" w:hAnsi="Times New Roman" w:cs="Times New Roman"/>
          <w:sz w:val="28"/>
          <w:lang w:val="bg-BG"/>
        </w:rPr>
      </w:pPr>
      <w:r>
        <w:rPr/>
      </w:r>
    </w:p>
    <w:sectPr>
      <w:type w:val="nextPage"/>
      <w:pgSz w:w="12240" w:h="15840"/>
      <w:pgMar w:left="1440" w:right="1440" w:header="0" w:top="1440" w:footer="0" w:bottom="1440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Times New Roman">
    <w:charset w:val="01"/>
    <w:family w:val="roman"/>
    <w:pitch w:val="variable"/>
  </w:font>
  <w:font w:name="Times New Roman">
    <w:charset w:val="01"/>
    <w:family w:val="auto"/>
    <w:pitch w:val="variable"/>
  </w:font>
  <w:font w:name="Courier New">
    <w:charset w:val="01"/>
    <w:family w:val="auto"/>
    <w:pitch w:val="fixed"/>
  </w:font>
  <w:font w:name="Wingdings">
    <w:charset w:val="02"/>
    <w:family w:val="auto"/>
    <w:pitch w:val="default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numFmt w:val="bullet"/>
      <w:lvlText w:val="-"/>
      <w:lvlJc w:val="left"/>
      <w:pPr>
        <w:tabs>
          <w:tab w:val="num" w:pos="0"/>
        </w:tabs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decimal"/>
      <w:lvlText w:val="%1)"/>
      <w:lvlJc w:val="left"/>
      <w:pPr>
        <w:tabs>
          <w:tab w:val="num" w:pos="0"/>
        </w:tabs>
        <w:ind w:left="144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200" w:hanging="180"/>
      </w:pPr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false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8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9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InternetLink">
    <w:name w:val="Hyperlink"/>
    <w:basedOn w:val="DefaultParagraphFont"/>
    <w:uiPriority w:val="99"/>
    <w:unhideWhenUsed/>
    <w:rsid w:val="0012622a"/>
    <w:rPr>
      <w:color w:val="0563C1" w:themeColor="hyperlink"/>
      <w:u w:val="single"/>
    </w:rPr>
  </w:style>
  <w:style w:type="character" w:styleId="HeaderChar" w:customStyle="1">
    <w:name w:val="Header Char"/>
    <w:basedOn w:val="DefaultParagraphFont"/>
    <w:link w:val="Header"/>
    <w:uiPriority w:val="99"/>
    <w:qFormat/>
    <w:rsid w:val="009a041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9a0416"/>
    <w:rPr/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Droid Sans Fallback" w:cs="Droid Sans Devanagari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Droid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Droid Sans Devanagari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Droid Sans Devanagari"/>
    </w:rPr>
  </w:style>
  <w:style w:type="paragraph" w:styleId="ListParagraph">
    <w:name w:val="List Paragraph"/>
    <w:basedOn w:val="Normal"/>
    <w:uiPriority w:val="34"/>
    <w:qFormat/>
    <w:rsid w:val="00e758fc"/>
    <w:pPr>
      <w:spacing w:before="0" w:after="160"/>
      <w:ind w:left="720" w:hanging="0"/>
      <w:contextualSpacing/>
    </w:pPr>
    <w:rPr/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9a041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9a041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image" Target="media/image2.jpeg"/><Relationship Id="rId4" Type="http://schemas.openxmlformats.org/officeDocument/2006/relationships/hyperlink" Target="../../../../../C:/Users/User/Downloads/&#1040;&#1074;&#1090;&#1086;&#1088;&#1077;&#1092;&#1077;&#1088;&#1072;&#1090;.pdf" TargetMode="External"/><Relationship Id="rId5" Type="http://schemas.openxmlformats.org/officeDocument/2006/relationships/hyperlink" Target="https://bcpgim.wordpress.com/&#1085;&#1077;&#1074;&#1077;&#1088;&#1073;&#1072;&#1083;&#1085;&#1080;-&#1082;&#1086;&#1084;&#1091;&#1085;&#1080;&#1082;&#1072;&#1094;&#1080;&#1080;/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Application>LibreOffice/7.0.3.1$Linux_X86_64 LibreOffice_project/00$Build-1</Application>
  <Pages>10</Pages>
  <Words>1955</Words>
  <Characters>12050</Characters>
  <CharactersWithSpaces>13918</CharactersWithSpaces>
  <Paragraphs>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2020-10-22T10:10:00Z</dcterms:created>
  <dc:creator>User</dc:creator>
  <dc:description/>
  <dc:language>en-US</dc:language>
  <cp:lastModifiedBy>User</cp:lastModifiedBy>
  <dcterms:modified xsi:type="dcterms:W3CDTF">2020-11-02T14:04:00Z</dcterms:modified>
  <cp:revision>245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